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2017 80 vom 13. November 2017</w:t>
      </w:r>
    </w:p>
    <w:p>
      <w:r>
        <w:t>SZ Gerichte, 2017-11-13, DE</w:t>
      </w:r>
    </w:p>
    <w:p>
      <w:r>
        <w:rPr>
          <w:b/>
        </w:rPr>
        <w:t xml:space="preserve">Quelle: </w:t>
      </w:r>
      <w:r>
        <w:t>https://mcp.opencaselaw.ch/entscheid/sz_gerichte_BEK 2017 80</w:t>
      </w:r>
    </w:p>
    <w:p>
      <w:r>
        <w:t>FR: SZ_GERICHTE BEK 2017 80 du 13 novembre 2017</w:t>
      </w:r>
    </w:p>
    <w:p>
      <w:r>
        <w:t>IT: SZ_GERICHTE BEK 2017 80 del 13 novembre 2017</w:t>
      </w:r>
    </w:p>
    <w:p>
      <w:pPr>
        <w:pStyle w:val="Heading2"/>
      </w:pPr>
      <w:r>
        <w:t>Regeste</w:t>
      </w:r>
    </w:p>
    <w:p>
      <w:r>
        <w:t>üble Nachrede, amtliche Verteidigung | UP/amtliche Verteidigung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ist die Beschwerde abzuweisen. Nach Art. 428 Abs. 1 StPO tragen die Parteien nach Massgabe ihres Obsiegens oder Unter- liegens die Kosten des Rechtsmittelverfahrens. Die Kosten des Beschwerde- verfahrens sind somit dem Beschwerdeführer aufzuerlegen. Den finanziellen</w:t>
      </w:r>
    </w:p>
    <w:p>
      <w:r>
        <w:t>Kantonsgericht Schwyz 7 Verhältnissen des Beschuldigten ist mit der Höhe der Gerichtskosten Rech- nung zu tragen;-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